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Telehealth Informed Consent Form </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_________________________(Client’’s name) hereby consent to engage in telehealth with Sollars and Associates, Inc as part of my psychotherapy. I understand that “telehealth” includes the practice of health care delivery, diagnosis, consultation, treatment, transfer of medical data, and education using interactive audio, video, or data communications. I understand that telehealth also involves the communication of my medical/mental information, both orally and visually, to health care practitioners located in Michigan.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ff0000"/>
        </w:rPr>
      </w:pPr>
      <w:r w:rsidDel="00000000" w:rsidR="00000000" w:rsidRPr="00000000">
        <w:rPr>
          <w:rtl w:val="0"/>
        </w:rPr>
        <w:t xml:space="preserve">Because of recent advances in communication technology, the field of tele-therapy has evolved. It has allowed individuals who may not have local access to a mental health professional to use electronic means to receive services. Because it is relatively new, there is not a lot of research indicating that it is an effective means of receiving therapy. An important part of therapy is sitting face to face with an individual, where non-verbal communication (body signals) are readily available to both therapist and client. Without this information, tele-therapy may be slower to progress or less effective. With the telephone, the client’s tone of voice, pauses and choice of words become especially important and therefore an important focus of the sessions. What is important here is that you are aware that tele-therapy may or may not be as effective as in-person therapy and therefore we must pay close attention to your progress and periodically evaluate the effectiveness of this form of therapy. </w:t>
      </w:r>
      <w:r w:rsidDel="00000000" w:rsidR="00000000" w:rsidRPr="00000000">
        <w:rPr>
          <w:rtl w:val="0"/>
        </w:rPr>
      </w:r>
    </w:p>
    <w:p w:rsidR="00000000" w:rsidDel="00000000" w:rsidP="00000000" w:rsidRDefault="00000000" w:rsidRPr="00000000" w14:paraId="00000007">
      <w:pPr>
        <w:rPr>
          <w:color w:val="ff000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understand that I have the following rights with respect to telehealth: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I have the right to withhold or withdraw consent at any time without affecting my right to future care or treatment nor risking the loss or withdrawal of any program benefits to which I would otherwise be entitled.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The laws that protect the confidentiality of my medical information also apply to telehealth.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w:t>
      </w:r>
    </w:p>
    <w:p w:rsidR="00000000" w:rsidDel="00000000" w:rsidP="00000000" w:rsidRDefault="00000000" w:rsidRPr="00000000" w14:paraId="0000000D">
      <w:pPr>
        <w:rPr/>
      </w:pPr>
      <w:r w:rsidDel="00000000" w:rsidR="00000000" w:rsidRPr="00000000">
        <w:rPr>
          <w:rtl w:val="0"/>
        </w:rPr>
        <w:t xml:space="preserve">I also understand that the dissemination of any personally identifiable images or information from the telemedicine interaction to researchers or other entities shall not occur without my written consent.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widowControl w:val="0"/>
        <w:spacing w:line="276" w:lineRule="auto"/>
        <w:rPr/>
        <w:sectPr>
          <w:headerReference r:id="rId6" w:type="first"/>
          <w:footerReference r:id="rId7" w:type="first"/>
          <w:pgSz w:h="15840" w:w="12240"/>
          <w:pgMar w:bottom="720" w:top="720" w:left="720" w:right="720" w:header="0" w:footer="720"/>
          <w:pgNumType w:start="1"/>
          <w:cols w:equalWidth="0"/>
        </w:sectPr>
      </w:pPr>
      <w:r w:rsidDel="00000000" w:rsidR="00000000" w:rsidRPr="00000000">
        <w:rPr>
          <w:rtl w:val="0"/>
        </w:rPr>
        <w:t xml:space="preserve">3) I understand that there are risks and consequences from telehealth,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w:t>
      </w:r>
      <w:r w:rsidDel="00000000" w:rsidR="00000000" w:rsidRPr="00000000">
        <w:rPr>
          <w:rtl w:val="0"/>
        </w:rPr>
        <w:t xml:space="preserve">and/or the electronic storage of my medical information could be accessed by unauthorized persons.</w:t>
      </w:r>
    </w:p>
    <w:p w:rsidR="00000000" w:rsidDel="00000000" w:rsidP="00000000" w:rsidRDefault="00000000" w:rsidRPr="00000000" w14:paraId="00000010">
      <w:pPr>
        <w:widowControl w:val="0"/>
        <w:spacing w:line="240" w:lineRule="auto"/>
        <w:rPr/>
        <w:sectPr>
          <w:headerReference r:id="rId8" w:type="default"/>
          <w:type w:val="continuous"/>
          <w:pgSz w:h="15840" w:w="12240"/>
          <w:pgMar w:bottom="720" w:top="720" w:left="720" w:right="720" w:header="0" w:footer="720"/>
          <w:cols w:equalWidth="0" w:num="2">
            <w:col w:space="800" w:w="5000"/>
            <w:col w:space="0" w:w="5000"/>
          </w:cols>
        </w:sect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addition, I understand that telehealth based services and care may not be as complete as face-to-face services. I also understand that if my psychotherapist believes I would be better served by another form of psychotherapeutic services (e.g. face-to-face services) I will be referred to a psychotherapist who can provide such services in my area. Finally, I understand that there are potential risks and benefits associated with any form of psychotherapy, and that despite my efforts and the efforts of my psychotherapist, my condition may not improve, and in some cases may even get worse.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4) I understand that I may benefit from telehealth, but that results cannot be guaranteed or assured.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ff0000"/>
        </w:rPr>
      </w:pPr>
      <w:r w:rsidDel="00000000" w:rsidR="00000000" w:rsidRPr="00000000">
        <w:rPr>
          <w:rtl w:val="0"/>
        </w:rPr>
        <w:t xml:space="preserve">5) I understand that if I am in need of emergency mental health services, I should go to my nearest emergency room or call 911. </w:t>
      </w:r>
      <w:r w:rsidDel="00000000" w:rsidR="00000000" w:rsidRPr="00000000">
        <w:rPr>
          <w:rtl w:val="0"/>
        </w:rPr>
      </w:r>
    </w:p>
    <w:p w:rsidR="00000000" w:rsidDel="00000000" w:rsidP="00000000" w:rsidRDefault="00000000" w:rsidRPr="00000000" w14:paraId="00000017">
      <w:pPr>
        <w:rPr>
          <w:color w:val="ff000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6) I understand that I have a right to access my medical information and copies of medical records in accordance with Michigan law.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u w:val="single"/>
        </w:rPr>
      </w:pPr>
      <w:r w:rsidDel="00000000" w:rsidR="00000000" w:rsidRPr="00000000">
        <w:rPr>
          <w:b w:val="1"/>
          <w:u w:val="single"/>
          <w:rtl w:val="0"/>
        </w:rPr>
        <w:t xml:space="preserve">Signature Section</w:t>
      </w:r>
    </w:p>
    <w:p w:rsidR="00000000" w:rsidDel="00000000" w:rsidP="00000000" w:rsidRDefault="00000000" w:rsidRPr="00000000" w14:paraId="0000001B">
      <w:pPr>
        <w:jc w:val="center"/>
        <w:rPr>
          <w:b w:val="1"/>
          <w:u w:val="singl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have read and understand the information provided above. I have discussed it with my psychotherapist, and all of my questions have been answered to my satisfaction.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5280"/>
        <w:tblGridChange w:id="0">
          <w:tblGrid>
            <w:gridCol w:w="5520"/>
            <w:gridCol w:w="5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Client’s Printed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Client’s Signature and Date (Electronic Signature acceptable)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Personal Representative's Signature / Relationship and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9" w:type="default"/>
      <w:footerReference r:id="rId10" w:type="default"/>
      <w:type w:val="continuous"/>
      <w:pgSz w:h="15840" w:w="12240"/>
      <w:pgMar w:bottom="720" w:top="720" w:left="720" w:right="720" w:header="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810" w:right="-810" w:firstLine="90"/>
      <w:jc w:val="center"/>
      <w:rPr>
        <w:rFonts w:ascii="Times New Roman" w:cs="Times New Roman" w:eastAsia="Times New Roman" w:hAnsi="Times New Roman"/>
        <w:b w:val="1"/>
        <w:sz w:val="18"/>
        <w:szCs w:val="1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18"/>
        <w:szCs w:val="18"/>
        <w:rtl w:val="0"/>
      </w:rPr>
      <w:t xml:space="preserve">Sterling Heights         Troy         West Bloomfield         Birmingham         Novi         Auburn Hills         Dearborn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810" w:right="-810" w:firstLine="9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Ann Arbor         Royal Oak         Holland         Commerce         Plymouth        Chesterfield       Southfield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right="-54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right="-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Pr>
      <w:drawing>
        <wp:inline distB="114300" distT="114300" distL="114300" distR="114300">
          <wp:extent cx="1114425"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4425" cy="495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ab/>
      <w:tab/>
      <w:tab/>
      <w:tab/>
      <w:tab/>
      <w:tab/>
      <w:t xml:space="preserve">                                                 </w:t>
    </w:r>
    <w:r w:rsidDel="00000000" w:rsidR="00000000" w:rsidRPr="00000000">
      <w:rPr>
        <w:rFonts w:ascii="Times New Roman" w:cs="Times New Roman" w:eastAsia="Times New Roman" w:hAnsi="Times New Roman"/>
        <w:sz w:val="20"/>
        <w:szCs w:val="20"/>
        <w:rtl w:val="0"/>
      </w:rPr>
      <w:t xml:space="preserve">Administrative Office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right="-540"/>
      <w:rPr>
        <w:rFonts w:ascii="Times New Roman" w:cs="Times New Roman" w:eastAsia="Times New Roman" w:hAnsi="Times New Roman"/>
        <w:sz w:val="20"/>
        <w:szCs w:val="20"/>
      </w:rPr>
    </w:pPr>
    <w:r w:rsidDel="00000000" w:rsidR="00000000" w:rsidRPr="00000000">
      <w:rPr>
        <w:b w:val="1"/>
        <w:sz w:val="18"/>
        <w:szCs w:val="18"/>
        <w:rtl w:val="0"/>
      </w:rPr>
      <w:t xml:space="preserve">Integrative Counseling and Psychological Services</w:t>
      <w:tab/>
      <w:t xml:space="preserve">                         </w:t>
    </w:r>
    <w:r w:rsidDel="00000000" w:rsidR="00000000" w:rsidRPr="00000000">
      <w:rPr>
        <w:sz w:val="18"/>
        <w:szCs w:val="18"/>
        <w:rtl w:val="0"/>
      </w:rPr>
      <w:t xml:space="preserve">17</w:t>
    </w:r>
    <w:r w:rsidDel="00000000" w:rsidR="00000000" w:rsidRPr="00000000">
      <w:rPr>
        <w:rFonts w:ascii="Times New Roman" w:cs="Times New Roman" w:eastAsia="Times New Roman" w:hAnsi="Times New Roman"/>
        <w:sz w:val="20"/>
        <w:szCs w:val="20"/>
        <w:rtl w:val="0"/>
      </w:rPr>
      <w:t xml:space="preserve">77 Axtell Dr., Suite 100, Troy, MI 48084</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right="-540"/>
      <w:rPr>
        <w:rFonts w:ascii="Times New Roman" w:cs="Times New Roman" w:eastAsia="Times New Roman" w:hAnsi="Times New Roman"/>
        <w:sz w:val="20"/>
        <w:szCs w:val="20"/>
      </w:rPr>
    </w:pPr>
    <w:r w:rsidDel="00000000" w:rsidR="00000000" w:rsidRPr="00000000">
      <w:rPr>
        <w:sz w:val="18"/>
        <w:szCs w:val="18"/>
        <w:rtl w:val="0"/>
      </w:rPr>
      <w:t xml:space="preserve">www.sollarsassociates.com</w:t>
    </w:r>
    <w:r w:rsidDel="00000000" w:rsidR="00000000" w:rsidRPr="00000000">
      <w:rPr>
        <w:b w:val="1"/>
        <w:sz w:val="18"/>
        <w:szCs w:val="18"/>
        <w:rtl w:val="0"/>
      </w:rPr>
      <w:tab/>
      <w:tab/>
      <w:tab/>
      <w:tab/>
      <w:tab/>
    </w:r>
    <w:r w:rsidDel="00000000" w:rsidR="00000000" w:rsidRPr="00000000">
      <w:rPr>
        <w:rFonts w:ascii="Times New Roman" w:cs="Times New Roman" w:eastAsia="Times New Roman" w:hAnsi="Times New Roman"/>
        <w:sz w:val="20"/>
        <w:szCs w:val="20"/>
        <w:rtl w:val="0"/>
      </w:rPr>
      <w:t xml:space="preserve">Fax: (248) 385-1193</w:t>
      <w:tab/>
      <w:t xml:space="preserve">Phone: (248) 787-0855</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right="-5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